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41B2" w14:textId="0FA773A0" w:rsidR="00A53114" w:rsidRPr="00996872" w:rsidRDefault="00996872" w:rsidP="00436CEB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/>
        </w:rPr>
      </w:pPr>
      <w:r w:rsidRPr="00996872"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BAE3D" wp14:editId="4186136C">
                <wp:simplePos x="0" y="0"/>
                <wp:positionH relativeFrom="column">
                  <wp:posOffset>4646950</wp:posOffset>
                </wp:positionH>
                <wp:positionV relativeFrom="paragraph">
                  <wp:posOffset>-557145</wp:posOffset>
                </wp:positionV>
                <wp:extent cx="1033780" cy="57255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572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0F4D3" w14:textId="77777777" w:rsidR="00996872" w:rsidRDefault="00996872" w:rsidP="00996872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D7BFD90" wp14:editId="0DDA6A31">
                                  <wp:extent cx="839449" cy="375925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49" cy="37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BAE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5.9pt;margin-top:-43.85pt;width:81.4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" fillcolor="white [3201]" stroked="f" strokeweight=".5pt">
                <v:textbox>
                  <w:txbxContent>
                    <w:p w14:paraId="5110F4D3" w14:textId="77777777" w:rsidR="00996872" w:rsidRDefault="00996872" w:rsidP="00996872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D7BFD90" wp14:editId="0DDA6A31">
                            <wp:extent cx="839449" cy="375925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449" cy="37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3114" w:rsidRPr="00996872">
        <w:rPr>
          <w:rFonts w:ascii="Arial" w:hAnsi="Arial" w:cs="Arial"/>
          <w:b/>
        </w:rPr>
        <w:t>Incidental findings of clinical significance and potential benefit</w:t>
      </w:r>
    </w:p>
    <w:p w14:paraId="589DF056" w14:textId="77777777" w:rsidR="00063FF2" w:rsidRPr="00996872" w:rsidRDefault="00063FF2" w:rsidP="00436CEB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3D23CCED" w14:textId="6A85BEFC" w:rsidR="00A53114" w:rsidRDefault="00A53114" w:rsidP="00436CEB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996872">
        <w:rPr>
          <w:rFonts w:ascii="Arial" w:hAnsi="Arial" w:cs="Arial"/>
          <w:sz w:val="22"/>
          <w:szCs w:val="22"/>
        </w:rPr>
        <w:t xml:space="preserve">In signing their original consent forms, </w:t>
      </w:r>
      <w:r w:rsidR="00842910" w:rsidRPr="00996872">
        <w:rPr>
          <w:rFonts w:ascii="Arial" w:hAnsi="Arial" w:cs="Arial"/>
          <w:sz w:val="22"/>
          <w:szCs w:val="22"/>
        </w:rPr>
        <w:t>ELSA</w:t>
      </w:r>
      <w:r w:rsidRPr="00996872">
        <w:rPr>
          <w:rFonts w:ascii="Arial" w:hAnsi="Arial" w:cs="Arial"/>
          <w:sz w:val="22"/>
          <w:szCs w:val="22"/>
        </w:rPr>
        <w:t xml:space="preserve"> participants agreed that they would not receive feedback about any individual genetic </w:t>
      </w:r>
      <w:r w:rsidR="00842910" w:rsidRPr="00996872">
        <w:rPr>
          <w:rFonts w:ascii="Arial" w:hAnsi="Arial" w:cs="Arial"/>
          <w:sz w:val="22"/>
          <w:szCs w:val="22"/>
        </w:rPr>
        <w:t xml:space="preserve">results. </w:t>
      </w:r>
      <w:r w:rsidRPr="00996872">
        <w:rPr>
          <w:rFonts w:ascii="Arial" w:hAnsi="Arial" w:cs="Arial"/>
          <w:sz w:val="22"/>
          <w:szCs w:val="22"/>
        </w:rPr>
        <w:t xml:space="preserve">To date, most informed commentators have seen this position as ‘good practice’ because nobody has really known how to interpret the clinical relevance of the genetic variants that have been </w:t>
      </w:r>
      <w:r w:rsidR="00501711" w:rsidRPr="00996872">
        <w:rPr>
          <w:rFonts w:ascii="Arial" w:hAnsi="Arial" w:cs="Arial"/>
          <w:sz w:val="22"/>
          <w:szCs w:val="22"/>
        </w:rPr>
        <w:t>identified</w:t>
      </w:r>
      <w:r w:rsidR="00501711">
        <w:rPr>
          <w:rFonts w:ascii="Arial" w:hAnsi="Arial" w:cs="Arial"/>
          <w:sz w:val="22"/>
          <w:szCs w:val="22"/>
        </w:rPr>
        <w:t xml:space="preserve">. </w:t>
      </w:r>
      <w:r w:rsidR="00501711" w:rsidRPr="00996872">
        <w:rPr>
          <w:rFonts w:ascii="Arial" w:hAnsi="Arial" w:cs="Arial"/>
          <w:sz w:val="22"/>
          <w:szCs w:val="22"/>
        </w:rPr>
        <w:t>Their</w:t>
      </w:r>
      <w:r w:rsidRPr="00996872">
        <w:rPr>
          <w:rFonts w:ascii="Arial" w:hAnsi="Arial" w:cs="Arial"/>
          <w:sz w:val="22"/>
          <w:szCs w:val="22"/>
        </w:rPr>
        <w:t xml:space="preserve"> effects have typically been rather small and there has been no agreed way in which to respond to the limited increases in risk they may convey. </w:t>
      </w:r>
      <w:r w:rsidR="00752E62" w:rsidRPr="00996872">
        <w:rPr>
          <w:rFonts w:ascii="Arial" w:hAnsi="Arial" w:cs="Arial"/>
          <w:sz w:val="22"/>
          <w:szCs w:val="22"/>
        </w:rPr>
        <w:t>Nonetheless, in line</w:t>
      </w:r>
      <w:r w:rsidRPr="00996872">
        <w:rPr>
          <w:rFonts w:ascii="Arial" w:hAnsi="Arial" w:cs="Arial"/>
          <w:sz w:val="22"/>
          <w:szCs w:val="22"/>
        </w:rPr>
        <w:t xml:space="preserve"> with many of the world’s major cohort studies and biobanks, the </w:t>
      </w:r>
      <w:r w:rsidR="00752E62" w:rsidRPr="00996872">
        <w:rPr>
          <w:rFonts w:ascii="Arial" w:hAnsi="Arial" w:cs="Arial"/>
          <w:sz w:val="22"/>
          <w:szCs w:val="22"/>
        </w:rPr>
        <w:t>ELSA-</w:t>
      </w:r>
      <w:r w:rsidR="00DA7CD5">
        <w:rPr>
          <w:rFonts w:ascii="Arial" w:hAnsi="Arial" w:cs="Arial"/>
          <w:sz w:val="22"/>
          <w:szCs w:val="22"/>
        </w:rPr>
        <w:t>G</w:t>
      </w:r>
      <w:r w:rsidRPr="00996872">
        <w:rPr>
          <w:rFonts w:ascii="Arial" w:hAnsi="Arial" w:cs="Arial"/>
          <w:sz w:val="22"/>
          <w:szCs w:val="22"/>
        </w:rPr>
        <w:t xml:space="preserve">DAC </w:t>
      </w:r>
      <w:proofErr w:type="spellStart"/>
      <w:r w:rsidR="00AA32D6">
        <w:rPr>
          <w:rFonts w:ascii="Arial" w:hAnsi="Arial" w:cs="Arial"/>
          <w:sz w:val="22"/>
          <w:szCs w:val="22"/>
        </w:rPr>
        <w:t>recognis</w:t>
      </w:r>
      <w:r w:rsidR="00041AA2" w:rsidRPr="00996872">
        <w:rPr>
          <w:rFonts w:ascii="Arial" w:hAnsi="Arial" w:cs="Arial"/>
          <w:sz w:val="22"/>
          <w:szCs w:val="22"/>
        </w:rPr>
        <w:t>es</w:t>
      </w:r>
      <w:proofErr w:type="spellEnd"/>
      <w:r w:rsidRPr="00996872">
        <w:rPr>
          <w:rFonts w:ascii="Arial" w:hAnsi="Arial" w:cs="Arial"/>
          <w:sz w:val="22"/>
          <w:szCs w:val="22"/>
        </w:rPr>
        <w:t xml:space="preserve"> that national and international views of what constitutes ‘best practice’ might be about to change. For example, as outlined by a senior international commentator in the field</w:t>
      </w:r>
      <w:r w:rsidRPr="00996872">
        <w:rPr>
          <w:rStyle w:val="EndnoteReference"/>
          <w:rFonts w:ascii="Arial" w:hAnsi="Arial" w:cs="Arial"/>
          <w:sz w:val="22"/>
          <w:szCs w:val="22"/>
        </w:rPr>
        <w:endnoteReference w:id="1"/>
      </w:r>
      <w:r w:rsidRPr="00996872">
        <w:rPr>
          <w:rFonts w:ascii="Arial" w:hAnsi="Arial" w:cs="Arial"/>
          <w:sz w:val="22"/>
          <w:szCs w:val="22"/>
        </w:rPr>
        <w:t xml:space="preserve">, it is possible that in the future it may become mandatory to report genetic results to participants if they satisfy three key requirements: </w:t>
      </w:r>
    </w:p>
    <w:p w14:paraId="7F23A8FC" w14:textId="77777777" w:rsidR="00996872" w:rsidRPr="00996872" w:rsidRDefault="00996872" w:rsidP="00436CEB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2179712C" w14:textId="77777777" w:rsidR="00A53114" w:rsidRPr="00996872" w:rsidRDefault="00A53114" w:rsidP="00436CEB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96872">
        <w:rPr>
          <w:rFonts w:ascii="Arial" w:hAnsi="Arial" w:cs="Arial"/>
          <w:sz w:val="22"/>
          <w:szCs w:val="22"/>
        </w:rPr>
        <w:tab/>
      </w:r>
      <w:r w:rsidRPr="00996872">
        <w:rPr>
          <w:rFonts w:ascii="Arial" w:hAnsi="Arial" w:cs="Arial"/>
          <w:b/>
          <w:sz w:val="22"/>
          <w:szCs w:val="22"/>
        </w:rPr>
        <w:t>(</w:t>
      </w:r>
      <w:proofErr w:type="spellStart"/>
      <w:r w:rsidRPr="00996872">
        <w:rPr>
          <w:rFonts w:ascii="Arial" w:hAnsi="Arial" w:cs="Arial"/>
          <w:b/>
          <w:sz w:val="22"/>
          <w:szCs w:val="22"/>
        </w:rPr>
        <w:t>i</w:t>
      </w:r>
      <w:proofErr w:type="spellEnd"/>
      <w:r w:rsidRPr="00996872">
        <w:rPr>
          <w:rFonts w:ascii="Arial" w:hAnsi="Arial" w:cs="Arial"/>
          <w:b/>
          <w:sz w:val="22"/>
          <w:szCs w:val="22"/>
        </w:rPr>
        <w:t>) scientific validity</w:t>
      </w:r>
      <w:r w:rsidRPr="00996872">
        <w:rPr>
          <w:rFonts w:ascii="Arial" w:hAnsi="Arial" w:cs="Arial"/>
          <w:sz w:val="22"/>
          <w:szCs w:val="22"/>
        </w:rPr>
        <w:t xml:space="preserve"> (the genotyping is of adequate quality); </w:t>
      </w:r>
    </w:p>
    <w:p w14:paraId="4AF76CFD" w14:textId="0B34B1CF" w:rsidR="00A53114" w:rsidRPr="00996872" w:rsidRDefault="00A53114" w:rsidP="00436CEB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96872">
        <w:rPr>
          <w:rFonts w:ascii="Arial" w:hAnsi="Arial" w:cs="Arial"/>
          <w:sz w:val="22"/>
          <w:szCs w:val="22"/>
        </w:rPr>
        <w:tab/>
      </w:r>
      <w:r w:rsidRPr="00996872">
        <w:rPr>
          <w:rFonts w:ascii="Arial" w:hAnsi="Arial" w:cs="Arial"/>
          <w:b/>
          <w:sz w:val="22"/>
          <w:szCs w:val="22"/>
        </w:rPr>
        <w:t xml:space="preserve">(ii) clinical significance </w:t>
      </w:r>
      <w:r w:rsidRPr="00996872">
        <w:rPr>
          <w:rFonts w:ascii="Arial" w:hAnsi="Arial" w:cs="Arial"/>
          <w:sz w:val="22"/>
          <w:szCs w:val="22"/>
        </w:rPr>
        <w:t xml:space="preserve">(the disease or condition caused by the genetic variant is potentially serious), and </w:t>
      </w:r>
    </w:p>
    <w:p w14:paraId="111D151B" w14:textId="77EE709B" w:rsidR="00A53114" w:rsidRPr="00996872" w:rsidRDefault="00A53114" w:rsidP="00436CEB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96872">
        <w:rPr>
          <w:rFonts w:ascii="Arial" w:hAnsi="Arial" w:cs="Arial"/>
          <w:sz w:val="22"/>
          <w:szCs w:val="22"/>
        </w:rPr>
        <w:tab/>
      </w:r>
      <w:r w:rsidRPr="00996872">
        <w:rPr>
          <w:rFonts w:ascii="Arial" w:hAnsi="Arial" w:cs="Arial"/>
          <w:b/>
          <w:sz w:val="22"/>
          <w:szCs w:val="22"/>
        </w:rPr>
        <w:t xml:space="preserve">(iii) potential benefit </w:t>
      </w:r>
      <w:r w:rsidRPr="00996872">
        <w:rPr>
          <w:rFonts w:ascii="Arial" w:hAnsi="Arial" w:cs="Arial"/>
          <w:sz w:val="22"/>
          <w:szCs w:val="22"/>
        </w:rPr>
        <w:t>(</w:t>
      </w:r>
      <w:r w:rsidR="00501711" w:rsidRPr="00996872">
        <w:rPr>
          <w:rFonts w:ascii="Arial" w:hAnsi="Arial" w:cs="Arial"/>
          <w:i/>
          <w:sz w:val="22"/>
          <w:szCs w:val="22"/>
        </w:rPr>
        <w:t>i.e.,</w:t>
      </w:r>
      <w:r w:rsidRPr="00996872">
        <w:rPr>
          <w:rFonts w:ascii="Arial" w:hAnsi="Arial" w:cs="Arial"/>
          <w:i/>
          <w:sz w:val="22"/>
          <w:szCs w:val="22"/>
        </w:rPr>
        <w:t xml:space="preserve"> </w:t>
      </w:r>
      <w:r w:rsidRPr="00996872">
        <w:rPr>
          <w:rFonts w:ascii="Arial" w:hAnsi="Arial" w:cs="Arial"/>
          <w:sz w:val="22"/>
          <w:szCs w:val="22"/>
        </w:rPr>
        <w:t xml:space="preserve">a valid approach exists to prevent or cure the condition/disease of concern and that early knowledge of the genetic risk to which an individual is exposed could enhance the efficacy of that prevention/cure).  </w:t>
      </w:r>
    </w:p>
    <w:p w14:paraId="23BF7591" w14:textId="4C010B9E" w:rsidR="00A53114" w:rsidRPr="00996872" w:rsidRDefault="00A53114" w:rsidP="00436CEB">
      <w:pPr>
        <w:spacing w:line="360" w:lineRule="auto"/>
        <w:rPr>
          <w:rFonts w:ascii="Arial" w:hAnsi="Arial" w:cs="Arial"/>
          <w:sz w:val="22"/>
          <w:szCs w:val="22"/>
        </w:rPr>
      </w:pPr>
      <w:r w:rsidRPr="00996872">
        <w:rPr>
          <w:rFonts w:ascii="Arial" w:hAnsi="Arial" w:cs="Arial"/>
          <w:sz w:val="22"/>
          <w:szCs w:val="22"/>
        </w:rPr>
        <w:t>At present</w:t>
      </w:r>
      <w:r w:rsidR="0094093F" w:rsidRPr="00996872">
        <w:rPr>
          <w:rFonts w:ascii="Arial" w:hAnsi="Arial" w:cs="Arial"/>
          <w:sz w:val="22"/>
          <w:szCs w:val="22"/>
        </w:rPr>
        <w:t xml:space="preserve">, </w:t>
      </w:r>
      <w:r w:rsidRPr="00996872">
        <w:rPr>
          <w:rFonts w:ascii="Arial" w:hAnsi="Arial" w:cs="Arial"/>
          <w:sz w:val="22"/>
          <w:szCs w:val="22"/>
        </w:rPr>
        <w:t xml:space="preserve">a change in what is seen as best practice remains no more than a hypothetical possibility, but findings that satisfy the three stated criteria are likely to become more common as the global scientific focus moves to full sequencing of genes and/or longer segments of DNA. The </w:t>
      </w:r>
      <w:r w:rsidR="0094093F" w:rsidRPr="00996872">
        <w:rPr>
          <w:rFonts w:ascii="Arial" w:hAnsi="Arial" w:cs="Arial"/>
          <w:sz w:val="22"/>
          <w:szCs w:val="22"/>
        </w:rPr>
        <w:t>ELSA-</w:t>
      </w:r>
      <w:r w:rsidR="00DA7CD5">
        <w:rPr>
          <w:rFonts w:ascii="Arial" w:hAnsi="Arial" w:cs="Arial"/>
          <w:sz w:val="22"/>
          <w:szCs w:val="22"/>
        </w:rPr>
        <w:t>G</w:t>
      </w:r>
      <w:r w:rsidRPr="00996872">
        <w:rPr>
          <w:rFonts w:ascii="Arial" w:hAnsi="Arial" w:cs="Arial"/>
          <w:sz w:val="22"/>
          <w:szCs w:val="22"/>
        </w:rPr>
        <w:t xml:space="preserve">DAC therefore wishes to help contribute to the national and international evidence-base on which any future strategic decisions might be made regarding policy for feeding back genetic results. </w:t>
      </w:r>
    </w:p>
    <w:p w14:paraId="030DFD78" w14:textId="0E04E6A4" w:rsidR="00A53114" w:rsidRPr="00996872" w:rsidRDefault="00A53114" w:rsidP="00436CE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96872">
        <w:rPr>
          <w:rFonts w:ascii="Arial" w:hAnsi="Arial" w:cs="Arial"/>
          <w:sz w:val="22"/>
          <w:szCs w:val="22"/>
        </w:rPr>
        <w:t xml:space="preserve">For this reason, </w:t>
      </w:r>
      <w:r w:rsidRPr="00996872">
        <w:rPr>
          <w:rFonts w:ascii="Arial" w:hAnsi="Arial" w:cs="Arial"/>
          <w:b/>
          <w:sz w:val="22"/>
          <w:szCs w:val="22"/>
        </w:rPr>
        <w:t xml:space="preserve">the </w:t>
      </w:r>
      <w:r w:rsidR="000F0360" w:rsidRPr="00996872">
        <w:rPr>
          <w:rFonts w:ascii="Arial" w:hAnsi="Arial" w:cs="Arial"/>
          <w:b/>
          <w:sz w:val="22"/>
          <w:szCs w:val="22"/>
        </w:rPr>
        <w:t>ELSA-</w:t>
      </w:r>
      <w:r w:rsidR="00DA7CD5">
        <w:rPr>
          <w:rFonts w:ascii="Arial" w:hAnsi="Arial" w:cs="Arial"/>
          <w:b/>
          <w:sz w:val="22"/>
          <w:szCs w:val="22"/>
        </w:rPr>
        <w:t>G</w:t>
      </w:r>
      <w:r w:rsidRPr="00996872">
        <w:rPr>
          <w:rFonts w:ascii="Arial" w:hAnsi="Arial" w:cs="Arial"/>
          <w:b/>
          <w:sz w:val="22"/>
          <w:szCs w:val="22"/>
        </w:rPr>
        <w:t xml:space="preserve">DAC now </w:t>
      </w:r>
      <w:r w:rsidRPr="00996872">
        <w:rPr>
          <w:rFonts w:ascii="Arial" w:hAnsi="Arial" w:cs="Arial"/>
          <w:b/>
          <w:i/>
          <w:sz w:val="22"/>
          <w:szCs w:val="22"/>
        </w:rPr>
        <w:t>requires</w:t>
      </w:r>
      <w:r w:rsidRPr="00996872">
        <w:rPr>
          <w:rFonts w:ascii="Arial" w:hAnsi="Arial" w:cs="Arial"/>
          <w:b/>
          <w:sz w:val="22"/>
          <w:szCs w:val="22"/>
        </w:rPr>
        <w:t xml:space="preserve"> that if in the course of any analysis of DNA from any participant, a genetic variant is found that could potentially be viewed as meeting all three of the criteria stated above, that information must be </w:t>
      </w:r>
      <w:r w:rsidR="00996872">
        <w:rPr>
          <w:rFonts w:ascii="Arial" w:hAnsi="Arial" w:cs="Arial"/>
          <w:b/>
          <w:sz w:val="22"/>
          <w:szCs w:val="22"/>
        </w:rPr>
        <w:t>communicated</w:t>
      </w:r>
      <w:r w:rsidR="00996872" w:rsidRPr="00996872">
        <w:rPr>
          <w:rFonts w:ascii="Arial" w:hAnsi="Arial" w:cs="Arial"/>
          <w:b/>
          <w:sz w:val="22"/>
          <w:szCs w:val="22"/>
        </w:rPr>
        <w:t xml:space="preserve"> </w:t>
      </w:r>
      <w:r w:rsidRPr="00996872">
        <w:rPr>
          <w:rFonts w:ascii="Arial" w:hAnsi="Arial" w:cs="Arial"/>
          <w:b/>
          <w:sz w:val="22"/>
          <w:szCs w:val="22"/>
        </w:rPr>
        <w:t xml:space="preserve">to the </w:t>
      </w:r>
      <w:r w:rsidR="000F0360" w:rsidRPr="00996872">
        <w:rPr>
          <w:rFonts w:ascii="Arial" w:hAnsi="Arial" w:cs="Arial"/>
          <w:b/>
          <w:sz w:val="22"/>
          <w:szCs w:val="22"/>
        </w:rPr>
        <w:t>ELSA-</w:t>
      </w:r>
      <w:r w:rsidR="00DA7CD5">
        <w:rPr>
          <w:rFonts w:ascii="Arial" w:hAnsi="Arial" w:cs="Arial"/>
          <w:b/>
          <w:sz w:val="22"/>
          <w:szCs w:val="22"/>
        </w:rPr>
        <w:t>G</w:t>
      </w:r>
      <w:r w:rsidRPr="00996872">
        <w:rPr>
          <w:rFonts w:ascii="Arial" w:hAnsi="Arial" w:cs="Arial"/>
          <w:b/>
          <w:sz w:val="22"/>
          <w:szCs w:val="22"/>
        </w:rPr>
        <w:t xml:space="preserve">DAC Secretariat. </w:t>
      </w:r>
    </w:p>
    <w:p w14:paraId="4AC18423" w14:textId="196F1A11" w:rsidR="00A53114" w:rsidRPr="00996872" w:rsidRDefault="00A53114" w:rsidP="00436CEB">
      <w:pPr>
        <w:spacing w:line="360" w:lineRule="auto"/>
        <w:rPr>
          <w:rFonts w:ascii="Arial" w:hAnsi="Arial" w:cs="Arial"/>
          <w:sz w:val="22"/>
          <w:szCs w:val="22"/>
        </w:rPr>
      </w:pPr>
      <w:r w:rsidRPr="00996872">
        <w:rPr>
          <w:rFonts w:ascii="Arial" w:hAnsi="Arial" w:cs="Arial"/>
          <w:sz w:val="22"/>
          <w:szCs w:val="22"/>
        </w:rPr>
        <w:t xml:space="preserve">At this stage this is no more than an exercise in collection of key data to assist us in developing an appropriate future strategy – transmission of any information in this manner does not absolve the research group which generates the relevant finding from having their own internal policy to deal with this globally </w:t>
      </w:r>
      <w:proofErr w:type="spellStart"/>
      <w:r w:rsidR="00AA32D6">
        <w:rPr>
          <w:rFonts w:ascii="Arial" w:hAnsi="Arial" w:cs="Arial"/>
          <w:sz w:val="22"/>
          <w:szCs w:val="22"/>
        </w:rPr>
        <w:t>recognis</w:t>
      </w:r>
      <w:r w:rsidR="00111B53" w:rsidRPr="00996872">
        <w:rPr>
          <w:rFonts w:ascii="Arial" w:hAnsi="Arial" w:cs="Arial"/>
          <w:sz w:val="22"/>
          <w:szCs w:val="22"/>
        </w:rPr>
        <w:t>ed</w:t>
      </w:r>
      <w:proofErr w:type="spellEnd"/>
      <w:r w:rsidRPr="00996872">
        <w:rPr>
          <w:rFonts w:ascii="Arial" w:hAnsi="Arial" w:cs="Arial"/>
          <w:sz w:val="22"/>
          <w:szCs w:val="22"/>
        </w:rPr>
        <w:t xml:space="preserve"> </w:t>
      </w:r>
      <w:r w:rsidR="00996872">
        <w:rPr>
          <w:rFonts w:ascii="Arial" w:hAnsi="Arial" w:cs="Arial"/>
          <w:sz w:val="22"/>
          <w:szCs w:val="22"/>
        </w:rPr>
        <w:t>issue</w:t>
      </w:r>
      <w:r w:rsidRPr="00996872">
        <w:rPr>
          <w:rFonts w:ascii="Arial" w:hAnsi="Arial" w:cs="Arial"/>
          <w:sz w:val="22"/>
          <w:szCs w:val="22"/>
        </w:rPr>
        <w:t xml:space="preserve">. It is also important to ensure </w:t>
      </w:r>
      <w:r w:rsidRPr="00996872">
        <w:rPr>
          <w:rFonts w:ascii="Arial" w:hAnsi="Arial" w:cs="Arial"/>
          <w:sz w:val="22"/>
          <w:szCs w:val="22"/>
        </w:rPr>
        <w:lastRenderedPageBreak/>
        <w:t xml:space="preserve">that your research group policy is consistent with the facts that: (1) at present NO genetic information can be returned to participants; and (2) even if that policy were to change, all such contacts with </w:t>
      </w:r>
      <w:r w:rsidR="00817E8F" w:rsidRPr="00996872">
        <w:rPr>
          <w:rFonts w:ascii="Arial" w:hAnsi="Arial" w:cs="Arial"/>
          <w:sz w:val="22"/>
          <w:szCs w:val="22"/>
        </w:rPr>
        <w:t xml:space="preserve">study participants </w:t>
      </w:r>
      <w:r w:rsidRPr="00996872">
        <w:rPr>
          <w:rFonts w:ascii="Arial" w:hAnsi="Arial" w:cs="Arial"/>
          <w:sz w:val="22"/>
          <w:szCs w:val="22"/>
        </w:rPr>
        <w:t xml:space="preserve">would necessarily be undertaken by the </w:t>
      </w:r>
      <w:r w:rsidR="00111B53" w:rsidRPr="00996872">
        <w:rPr>
          <w:rFonts w:ascii="Arial" w:hAnsi="Arial" w:cs="Arial"/>
          <w:sz w:val="22"/>
          <w:szCs w:val="22"/>
        </w:rPr>
        <w:t>ELSA-</w:t>
      </w:r>
      <w:r w:rsidR="00DA7CD5">
        <w:rPr>
          <w:rFonts w:ascii="Arial" w:hAnsi="Arial" w:cs="Arial"/>
          <w:sz w:val="22"/>
          <w:szCs w:val="22"/>
        </w:rPr>
        <w:t>GD</w:t>
      </w:r>
      <w:r w:rsidR="00817E8F" w:rsidRPr="00996872">
        <w:rPr>
          <w:rFonts w:ascii="Arial" w:hAnsi="Arial" w:cs="Arial"/>
          <w:sz w:val="22"/>
          <w:szCs w:val="22"/>
        </w:rPr>
        <w:t xml:space="preserve">AC </w:t>
      </w:r>
      <w:r w:rsidR="00111B53" w:rsidRPr="00996872">
        <w:rPr>
          <w:rFonts w:ascii="Arial" w:hAnsi="Arial" w:cs="Arial"/>
          <w:sz w:val="22"/>
          <w:szCs w:val="22"/>
        </w:rPr>
        <w:t>s</w:t>
      </w:r>
      <w:r w:rsidR="00817E8F" w:rsidRPr="00996872">
        <w:rPr>
          <w:rFonts w:ascii="Arial" w:hAnsi="Arial" w:cs="Arial"/>
          <w:sz w:val="22"/>
          <w:szCs w:val="22"/>
        </w:rPr>
        <w:t>ecretaria</w:t>
      </w:r>
      <w:r w:rsidR="00111B53" w:rsidRPr="00996872">
        <w:rPr>
          <w:rFonts w:ascii="Arial" w:hAnsi="Arial" w:cs="Arial"/>
          <w:sz w:val="22"/>
          <w:szCs w:val="22"/>
        </w:rPr>
        <w:t>t</w:t>
      </w:r>
      <w:r w:rsidR="00817E8F" w:rsidRPr="00996872">
        <w:rPr>
          <w:rFonts w:ascii="Arial" w:hAnsi="Arial" w:cs="Arial"/>
          <w:sz w:val="22"/>
          <w:szCs w:val="22"/>
        </w:rPr>
        <w:t xml:space="preserve"> and not by its applicants.  </w:t>
      </w:r>
      <w:r w:rsidRPr="00996872">
        <w:rPr>
          <w:rFonts w:ascii="Arial" w:hAnsi="Arial" w:cs="Arial"/>
          <w:b/>
          <w:sz w:val="22"/>
          <w:szCs w:val="22"/>
        </w:rPr>
        <w:t>These requirements are immutable under any circumstances</w:t>
      </w:r>
      <w:r w:rsidRPr="00996872">
        <w:rPr>
          <w:rFonts w:ascii="Arial" w:hAnsi="Arial" w:cs="Arial"/>
          <w:sz w:val="22"/>
          <w:szCs w:val="22"/>
        </w:rPr>
        <w:t xml:space="preserve"> – even at the direction of an ethics committee that has reviewed your (the research group’s) project.</w:t>
      </w:r>
    </w:p>
    <w:p w14:paraId="7CF71E9C" w14:textId="77777777" w:rsidR="00E4254E" w:rsidRPr="00996872" w:rsidRDefault="00E4254E" w:rsidP="00436CEB">
      <w:pPr>
        <w:spacing w:line="360" w:lineRule="auto"/>
        <w:rPr>
          <w:rFonts w:ascii="Arial" w:hAnsi="Arial" w:cs="Arial"/>
        </w:rPr>
      </w:pPr>
    </w:p>
    <w:p w14:paraId="66F22E96" w14:textId="77777777" w:rsidR="00D67864" w:rsidRPr="00996872" w:rsidRDefault="00D67864" w:rsidP="00436CEB">
      <w:pPr>
        <w:spacing w:line="360" w:lineRule="auto"/>
        <w:rPr>
          <w:rFonts w:ascii="Arial" w:hAnsi="Arial" w:cs="Arial"/>
        </w:rPr>
      </w:pPr>
    </w:p>
    <w:sectPr w:rsidR="00D67864" w:rsidRPr="0099687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B0F5C" w14:textId="77777777" w:rsidR="00B0226D" w:rsidRDefault="00B0226D" w:rsidP="00A53114">
      <w:pPr>
        <w:spacing w:after="0"/>
      </w:pPr>
      <w:r>
        <w:separator/>
      </w:r>
    </w:p>
  </w:endnote>
  <w:endnote w:type="continuationSeparator" w:id="0">
    <w:p w14:paraId="4D40378F" w14:textId="77777777" w:rsidR="00B0226D" w:rsidRDefault="00B0226D" w:rsidP="00A53114">
      <w:pPr>
        <w:spacing w:after="0"/>
      </w:pPr>
      <w:r>
        <w:continuationSeparator/>
      </w:r>
    </w:p>
  </w:endnote>
  <w:endnote w:id="1">
    <w:p w14:paraId="2DD9071B" w14:textId="77777777" w:rsidR="00A53114" w:rsidRPr="00A53114" w:rsidRDefault="00A53114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843673">
        <w:rPr>
          <w:rFonts w:ascii="Arial" w:hAnsi="Arial" w:cs="Arial"/>
          <w:noProof/>
          <w:sz w:val="16"/>
          <w:szCs w:val="16"/>
        </w:rPr>
        <w:t xml:space="preserve">Knoppers BM, Joly Y, Simard J, Durocher F. The emergence of an ethical duty to disclose genetic research results: international perspectives. </w:t>
      </w:r>
      <w:r w:rsidRPr="00843673">
        <w:rPr>
          <w:rFonts w:ascii="Arial" w:hAnsi="Arial" w:cs="Arial"/>
          <w:i/>
          <w:noProof/>
          <w:sz w:val="16"/>
          <w:szCs w:val="16"/>
        </w:rPr>
        <w:t xml:space="preserve">Eur J Hum Genet </w:t>
      </w:r>
      <w:r w:rsidRPr="00843673">
        <w:rPr>
          <w:rFonts w:ascii="Arial" w:hAnsi="Arial" w:cs="Arial"/>
          <w:noProof/>
          <w:sz w:val="16"/>
          <w:szCs w:val="16"/>
        </w:rPr>
        <w:t>2006;14(11):1170-8.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0044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06CE9A" w14:textId="2445C591" w:rsidR="00996872" w:rsidRDefault="00996872">
            <w:pPr>
              <w:pStyle w:val="Footer"/>
              <w:jc w:val="right"/>
            </w:pPr>
            <w:r w:rsidRPr="00996872">
              <w:rPr>
                <w:rFonts w:ascii="Arial" w:hAnsi="Arial" w:cs="Arial"/>
              </w:rPr>
              <w:t xml:space="preserve">Page </w:t>
            </w:r>
            <w:r w:rsidRPr="00996872">
              <w:rPr>
                <w:rFonts w:ascii="Arial" w:hAnsi="Arial" w:cs="Arial"/>
                <w:b/>
                <w:bCs/>
              </w:rPr>
              <w:fldChar w:fldCharType="begin"/>
            </w:r>
            <w:r w:rsidRPr="0099687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96872">
              <w:rPr>
                <w:rFonts w:ascii="Arial" w:hAnsi="Arial" w:cs="Arial"/>
                <w:b/>
                <w:bCs/>
              </w:rPr>
              <w:fldChar w:fldCharType="separate"/>
            </w:r>
            <w:r w:rsidR="00AA32D6">
              <w:rPr>
                <w:rFonts w:ascii="Arial" w:hAnsi="Arial" w:cs="Arial"/>
                <w:b/>
                <w:bCs/>
                <w:noProof/>
              </w:rPr>
              <w:t>2</w:t>
            </w:r>
            <w:r w:rsidRPr="00996872">
              <w:rPr>
                <w:rFonts w:ascii="Arial" w:hAnsi="Arial" w:cs="Arial"/>
                <w:b/>
                <w:bCs/>
              </w:rPr>
              <w:fldChar w:fldCharType="end"/>
            </w:r>
            <w:r w:rsidRPr="00996872">
              <w:rPr>
                <w:rFonts w:ascii="Arial" w:hAnsi="Arial" w:cs="Arial"/>
              </w:rPr>
              <w:t xml:space="preserve"> of </w:t>
            </w:r>
            <w:r w:rsidRPr="00996872">
              <w:rPr>
                <w:rFonts w:ascii="Arial" w:hAnsi="Arial" w:cs="Arial"/>
                <w:b/>
                <w:bCs/>
              </w:rPr>
              <w:fldChar w:fldCharType="begin"/>
            </w:r>
            <w:r w:rsidRPr="0099687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96872">
              <w:rPr>
                <w:rFonts w:ascii="Arial" w:hAnsi="Arial" w:cs="Arial"/>
                <w:b/>
                <w:bCs/>
              </w:rPr>
              <w:fldChar w:fldCharType="separate"/>
            </w:r>
            <w:r w:rsidR="00AA32D6">
              <w:rPr>
                <w:rFonts w:ascii="Arial" w:hAnsi="Arial" w:cs="Arial"/>
                <w:b/>
                <w:bCs/>
                <w:noProof/>
              </w:rPr>
              <w:t>2</w:t>
            </w:r>
            <w:r w:rsidRPr="0099687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5366D76" w14:textId="77777777" w:rsidR="00996872" w:rsidRDefault="00996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F16A" w14:textId="77777777" w:rsidR="00B0226D" w:rsidRDefault="00B0226D" w:rsidP="00A53114">
      <w:pPr>
        <w:spacing w:after="0"/>
      </w:pPr>
      <w:r>
        <w:separator/>
      </w:r>
    </w:p>
  </w:footnote>
  <w:footnote w:type="continuationSeparator" w:id="0">
    <w:p w14:paraId="1CF2380F" w14:textId="77777777" w:rsidR="00B0226D" w:rsidRDefault="00B0226D" w:rsidP="00A531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4816" w14:textId="70C90899" w:rsidR="00111B53" w:rsidRPr="00842910" w:rsidRDefault="00842910" w:rsidP="00111B53">
    <w:pPr>
      <w:spacing w:after="0" w:line="360" w:lineRule="auto"/>
      <w:jc w:val="both"/>
      <w:rPr>
        <w:rFonts w:ascii="Arial" w:hAnsi="Arial" w:cs="Arial"/>
        <w:bCs/>
        <w:sz w:val="18"/>
        <w:szCs w:val="18"/>
      </w:rPr>
    </w:pPr>
    <w:r w:rsidRPr="00842910">
      <w:rPr>
        <w:rFonts w:ascii="Arial" w:hAnsi="Arial" w:cs="Arial"/>
        <w:bCs/>
        <w:sz w:val="18"/>
        <w:szCs w:val="18"/>
      </w:rPr>
      <w:t>ELSA-</w:t>
    </w:r>
    <w:r w:rsidR="002A710B">
      <w:rPr>
        <w:rFonts w:ascii="Arial" w:hAnsi="Arial" w:cs="Arial"/>
        <w:bCs/>
        <w:sz w:val="18"/>
        <w:szCs w:val="18"/>
      </w:rPr>
      <w:t>G</w:t>
    </w:r>
    <w:r w:rsidRPr="00842910">
      <w:rPr>
        <w:rFonts w:ascii="Arial" w:hAnsi="Arial" w:cs="Arial"/>
        <w:bCs/>
        <w:sz w:val="18"/>
        <w:szCs w:val="18"/>
      </w:rPr>
      <w:t xml:space="preserve">DAC | </w:t>
    </w:r>
    <w:r w:rsidR="00111B53" w:rsidRPr="00842910">
      <w:rPr>
        <w:rFonts w:ascii="Arial" w:hAnsi="Arial" w:cs="Arial"/>
        <w:bCs/>
        <w:sz w:val="18"/>
        <w:szCs w:val="18"/>
      </w:rPr>
      <w:t>Incidental findings of clinical significance and potential benefit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937FA"/>
    <w:multiLevelType w:val="hybridMultilevel"/>
    <w:tmpl w:val="7FAEABE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0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14"/>
    <w:rsid w:val="00041AA2"/>
    <w:rsid w:val="00063FF2"/>
    <w:rsid w:val="000F0360"/>
    <w:rsid w:val="00111B53"/>
    <w:rsid w:val="002A710B"/>
    <w:rsid w:val="00365E0A"/>
    <w:rsid w:val="003F7888"/>
    <w:rsid w:val="00436CEB"/>
    <w:rsid w:val="00501711"/>
    <w:rsid w:val="00530762"/>
    <w:rsid w:val="00603132"/>
    <w:rsid w:val="006B26BC"/>
    <w:rsid w:val="00752E62"/>
    <w:rsid w:val="007761D3"/>
    <w:rsid w:val="00817E8F"/>
    <w:rsid w:val="00842910"/>
    <w:rsid w:val="00903E4B"/>
    <w:rsid w:val="0094093F"/>
    <w:rsid w:val="00996872"/>
    <w:rsid w:val="00A06296"/>
    <w:rsid w:val="00A53114"/>
    <w:rsid w:val="00A7132C"/>
    <w:rsid w:val="00AA32D6"/>
    <w:rsid w:val="00B0226D"/>
    <w:rsid w:val="00C47FDD"/>
    <w:rsid w:val="00D67864"/>
    <w:rsid w:val="00DA7CD5"/>
    <w:rsid w:val="00E4254E"/>
    <w:rsid w:val="00EA6C39"/>
    <w:rsid w:val="00F3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7285"/>
  <w15:chartTrackingRefBased/>
  <w15:docId w15:val="{DD7532D6-70D2-433B-9422-E7F06909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114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531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114"/>
    <w:rPr>
      <w:rFonts w:ascii="Cambria" w:eastAsia="Cambria" w:hAnsi="Cambr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531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1B5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B53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B5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B53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667D1C66E974D977DCDAAFD98A4DB" ma:contentTypeVersion="13" ma:contentTypeDescription="Create a new document." ma:contentTypeScope="" ma:versionID="ba7fe1af5fd0fb5a9fafac1185593fe2">
  <xsd:schema xmlns:xsd="http://www.w3.org/2001/XMLSchema" xmlns:xs="http://www.w3.org/2001/XMLSchema" xmlns:p="http://schemas.microsoft.com/office/2006/metadata/properties" xmlns:ns3="451d90e9-c4be-4d8e-a35b-457f79040843" xmlns:ns4="5f816233-7af3-4e92-961f-069352da8317" targetNamespace="http://schemas.microsoft.com/office/2006/metadata/properties" ma:root="true" ma:fieldsID="2a1a5602721bed870a2284b81aabb832" ns3:_="" ns4:_="">
    <xsd:import namespace="451d90e9-c4be-4d8e-a35b-457f79040843"/>
    <xsd:import namespace="5f816233-7af3-4e92-961f-069352da8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d90e9-c4be-4d8e-a35b-457f79040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6233-7af3-4e92-961f-069352da8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28DF3-612E-4ED2-BCB7-5B3EC43CA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d90e9-c4be-4d8e-a35b-457f79040843"/>
    <ds:schemaRef ds:uri="5f816233-7af3-4e92-961f-069352da8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4D73D-A619-4DC6-BFF9-D0FCBED23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952C4-234E-4D27-BE65-BC2A366E9281}">
  <ds:schemaRefs>
    <ds:schemaRef ds:uri="http://schemas.microsoft.com/office/2006/documentManagement/types"/>
    <ds:schemaRef ds:uri="http://schemas.microsoft.com/office/2006/metadata/properties"/>
    <ds:schemaRef ds:uri="451d90e9-c4be-4d8e-a35b-457f79040843"/>
    <ds:schemaRef ds:uri="http://schemas.openxmlformats.org/package/2006/metadata/core-properties"/>
    <ds:schemaRef ds:uri="http://purl.org/dc/dcmitype/"/>
    <ds:schemaRef ds:uri="5f816233-7af3-4e92-961f-069352da8317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Roberts</dc:creator>
  <cp:keywords/>
  <dc:description/>
  <cp:lastModifiedBy>Hussain, Najma</cp:lastModifiedBy>
  <cp:revision>2</cp:revision>
  <dcterms:created xsi:type="dcterms:W3CDTF">2024-12-20T07:47:00Z</dcterms:created>
  <dcterms:modified xsi:type="dcterms:W3CDTF">2024-12-20T07:47:00Z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0x01010063C667D1C66E974D977DCDAAFD98A4DB</vt:lpwstr>
  </property>
</Properties>
</file>